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A66" w:rsidRDefault="00594785" w:rsidP="00594785">
      <w:pPr>
        <w:pStyle w:val="NoSpacing"/>
        <w:jc w:val="center"/>
      </w:pPr>
      <w:r>
        <w:t>MBA 650</w:t>
      </w:r>
    </w:p>
    <w:p w:rsidR="00594785" w:rsidRDefault="00594785" w:rsidP="00594785">
      <w:pPr>
        <w:pStyle w:val="NoSpacing"/>
        <w:jc w:val="center"/>
      </w:pPr>
      <w:r>
        <w:t>Quiz 2</w:t>
      </w:r>
    </w:p>
    <w:p w:rsidR="00594785" w:rsidRDefault="00594785" w:rsidP="00594785">
      <w:pPr>
        <w:pStyle w:val="NoSpacing"/>
        <w:jc w:val="center"/>
      </w:pPr>
      <w:r>
        <w:t>CT9.2</w:t>
      </w:r>
    </w:p>
    <w:p w:rsidR="00BE07AE" w:rsidRDefault="00BE07AE" w:rsidP="00BE07AE">
      <w:pPr>
        <w:pStyle w:val="NoSpacing"/>
      </w:pPr>
    </w:p>
    <w:p w:rsidR="00BE07AE" w:rsidRDefault="009A1A66" w:rsidP="00BE07AE">
      <w:pPr>
        <w:pStyle w:val="NoSpacing"/>
      </w:pPr>
      <w:r>
        <w:t>Dawson Company manufactures three types of computer games:  Skyhawk, Seahawk, and Sharks.  It allocates overhead to the games based on the number of direct labor hours worked on each product.  The results of the most recent period follow:</w:t>
      </w:r>
    </w:p>
    <w:p w:rsidR="009A1A66" w:rsidRDefault="009A1A66" w:rsidP="00BE07A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8"/>
        <w:gridCol w:w="1260"/>
        <w:gridCol w:w="1530"/>
        <w:gridCol w:w="1458"/>
      </w:tblGrid>
      <w:tr w:rsidR="00BE07AE" w:rsidRPr="00BE07AE" w:rsidTr="009A1A66">
        <w:tc>
          <w:tcPr>
            <w:tcW w:w="5328" w:type="dxa"/>
          </w:tcPr>
          <w:p w:rsidR="00BE07AE" w:rsidRPr="00BE07AE" w:rsidRDefault="00BE07AE" w:rsidP="00BE07AE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BE07AE" w:rsidRPr="00BE07AE" w:rsidRDefault="009A1A66" w:rsidP="00BE07A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Skyhawk</w:t>
            </w:r>
          </w:p>
        </w:tc>
        <w:tc>
          <w:tcPr>
            <w:tcW w:w="1530" w:type="dxa"/>
          </w:tcPr>
          <w:p w:rsidR="00BE07AE" w:rsidRPr="00BE07AE" w:rsidRDefault="009A1A66" w:rsidP="00BE07A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Seahawk</w:t>
            </w:r>
          </w:p>
        </w:tc>
        <w:tc>
          <w:tcPr>
            <w:tcW w:w="1458" w:type="dxa"/>
          </w:tcPr>
          <w:p w:rsidR="00BE07AE" w:rsidRPr="00BE07AE" w:rsidRDefault="009A1A66" w:rsidP="00BE07AE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Sharks</w:t>
            </w:r>
          </w:p>
        </w:tc>
      </w:tr>
      <w:tr w:rsidR="00BE07AE" w:rsidTr="009A1A66">
        <w:tc>
          <w:tcPr>
            <w:tcW w:w="5328" w:type="dxa"/>
          </w:tcPr>
          <w:p w:rsidR="00BE07AE" w:rsidRDefault="009A1A66" w:rsidP="00BE07AE">
            <w:pPr>
              <w:pStyle w:val="NoSpacing"/>
            </w:pPr>
            <w:r>
              <w:t>Units produced and sold</w:t>
            </w:r>
          </w:p>
        </w:tc>
        <w:tc>
          <w:tcPr>
            <w:tcW w:w="1260" w:type="dxa"/>
          </w:tcPr>
          <w:p w:rsidR="00BE07AE" w:rsidRDefault="009A1A66" w:rsidP="00BE07AE">
            <w:pPr>
              <w:pStyle w:val="NoSpacing"/>
              <w:jc w:val="right"/>
            </w:pPr>
            <w:r>
              <w:t>9,000</w:t>
            </w:r>
          </w:p>
        </w:tc>
        <w:tc>
          <w:tcPr>
            <w:tcW w:w="1530" w:type="dxa"/>
          </w:tcPr>
          <w:p w:rsidR="00BE07AE" w:rsidRDefault="009A1A66" w:rsidP="00BE07AE">
            <w:pPr>
              <w:pStyle w:val="NoSpacing"/>
              <w:jc w:val="right"/>
            </w:pPr>
            <w:r>
              <w:t>8,000</w:t>
            </w:r>
          </w:p>
        </w:tc>
        <w:tc>
          <w:tcPr>
            <w:tcW w:w="1458" w:type="dxa"/>
          </w:tcPr>
          <w:p w:rsidR="00BE07AE" w:rsidRDefault="009A1A66" w:rsidP="00BE07AE">
            <w:pPr>
              <w:pStyle w:val="NoSpacing"/>
              <w:jc w:val="right"/>
            </w:pPr>
            <w:r>
              <w:t>7,000</w:t>
            </w:r>
          </w:p>
        </w:tc>
      </w:tr>
      <w:tr w:rsidR="00BE07AE" w:rsidTr="009A1A66">
        <w:tc>
          <w:tcPr>
            <w:tcW w:w="5328" w:type="dxa"/>
          </w:tcPr>
          <w:p w:rsidR="00BE07AE" w:rsidRDefault="009A1A66" w:rsidP="00BE07AE">
            <w:pPr>
              <w:pStyle w:val="NoSpacing"/>
            </w:pPr>
            <w:r>
              <w:t>Selling Price</w:t>
            </w:r>
          </w:p>
        </w:tc>
        <w:tc>
          <w:tcPr>
            <w:tcW w:w="1260" w:type="dxa"/>
          </w:tcPr>
          <w:p w:rsidR="00BE07AE" w:rsidRDefault="009A1A66" w:rsidP="00BE07AE">
            <w:pPr>
              <w:pStyle w:val="NoSpacing"/>
              <w:jc w:val="right"/>
            </w:pPr>
            <w:r>
              <w:t>$45.00</w:t>
            </w:r>
          </w:p>
        </w:tc>
        <w:tc>
          <w:tcPr>
            <w:tcW w:w="1530" w:type="dxa"/>
          </w:tcPr>
          <w:p w:rsidR="00BE07AE" w:rsidRDefault="009A1A66" w:rsidP="00BE07AE">
            <w:pPr>
              <w:pStyle w:val="NoSpacing"/>
              <w:jc w:val="right"/>
            </w:pPr>
            <w:r>
              <w:t>$30.00</w:t>
            </w:r>
          </w:p>
        </w:tc>
        <w:tc>
          <w:tcPr>
            <w:tcW w:w="1458" w:type="dxa"/>
          </w:tcPr>
          <w:p w:rsidR="00BE07AE" w:rsidRDefault="009A1A66" w:rsidP="00BE07AE">
            <w:pPr>
              <w:pStyle w:val="NoSpacing"/>
              <w:jc w:val="right"/>
            </w:pPr>
            <w:r>
              <w:t>$25.00</w:t>
            </w:r>
          </w:p>
        </w:tc>
      </w:tr>
      <w:tr w:rsidR="00BE07AE" w:rsidTr="009A1A66">
        <w:tc>
          <w:tcPr>
            <w:tcW w:w="5328" w:type="dxa"/>
          </w:tcPr>
          <w:p w:rsidR="00BE07AE" w:rsidRDefault="009A1A66" w:rsidP="00BE07AE">
            <w:pPr>
              <w:pStyle w:val="NoSpacing"/>
            </w:pPr>
            <w:r>
              <w:t>Less:</w:t>
            </w:r>
          </w:p>
        </w:tc>
        <w:tc>
          <w:tcPr>
            <w:tcW w:w="1260" w:type="dxa"/>
          </w:tcPr>
          <w:p w:rsidR="00BE07AE" w:rsidRDefault="00BE07AE" w:rsidP="00BE07AE">
            <w:pPr>
              <w:pStyle w:val="NoSpacing"/>
              <w:jc w:val="right"/>
            </w:pPr>
          </w:p>
        </w:tc>
        <w:tc>
          <w:tcPr>
            <w:tcW w:w="1530" w:type="dxa"/>
          </w:tcPr>
          <w:p w:rsidR="00BE07AE" w:rsidRDefault="00BE07AE" w:rsidP="00BE07AE">
            <w:pPr>
              <w:pStyle w:val="NoSpacing"/>
              <w:jc w:val="right"/>
            </w:pPr>
          </w:p>
        </w:tc>
        <w:tc>
          <w:tcPr>
            <w:tcW w:w="1458" w:type="dxa"/>
          </w:tcPr>
          <w:p w:rsidR="00BE07AE" w:rsidRDefault="00BE07AE" w:rsidP="00BE07AE">
            <w:pPr>
              <w:pStyle w:val="NoSpacing"/>
              <w:jc w:val="right"/>
            </w:pPr>
          </w:p>
        </w:tc>
      </w:tr>
      <w:tr w:rsidR="009A1A66" w:rsidTr="009A1A66">
        <w:tc>
          <w:tcPr>
            <w:tcW w:w="5328" w:type="dxa"/>
          </w:tcPr>
          <w:p w:rsidR="009A1A66" w:rsidRDefault="009A1A66" w:rsidP="00BE07AE">
            <w:pPr>
              <w:pStyle w:val="NoSpacing"/>
            </w:pPr>
            <w:r>
              <w:t xml:space="preserve">   Direct materials per unit</w:t>
            </w:r>
          </w:p>
        </w:tc>
        <w:tc>
          <w:tcPr>
            <w:tcW w:w="1260" w:type="dxa"/>
          </w:tcPr>
          <w:p w:rsidR="009A1A66" w:rsidRDefault="009A1A66" w:rsidP="00BE07AE">
            <w:pPr>
              <w:pStyle w:val="NoSpacing"/>
              <w:jc w:val="right"/>
            </w:pPr>
            <w:r>
              <w:t>5.50</w:t>
            </w:r>
          </w:p>
        </w:tc>
        <w:tc>
          <w:tcPr>
            <w:tcW w:w="1530" w:type="dxa"/>
          </w:tcPr>
          <w:p w:rsidR="009A1A66" w:rsidRDefault="009A1A66" w:rsidP="00BE07AE">
            <w:pPr>
              <w:pStyle w:val="NoSpacing"/>
              <w:jc w:val="right"/>
            </w:pPr>
            <w:r>
              <w:t>4.25</w:t>
            </w:r>
          </w:p>
        </w:tc>
        <w:tc>
          <w:tcPr>
            <w:tcW w:w="1458" w:type="dxa"/>
          </w:tcPr>
          <w:p w:rsidR="009A1A66" w:rsidRDefault="009A1A66" w:rsidP="00BE07AE">
            <w:pPr>
              <w:pStyle w:val="NoSpacing"/>
              <w:jc w:val="right"/>
            </w:pPr>
            <w:r>
              <w:t>3.00</w:t>
            </w:r>
          </w:p>
        </w:tc>
      </w:tr>
      <w:tr w:rsidR="009A1A66" w:rsidTr="009A1A66">
        <w:tc>
          <w:tcPr>
            <w:tcW w:w="5328" w:type="dxa"/>
          </w:tcPr>
          <w:p w:rsidR="009A1A66" w:rsidRDefault="009A1A66" w:rsidP="00BE07AE">
            <w:pPr>
              <w:pStyle w:val="NoSpacing"/>
            </w:pPr>
            <w:r>
              <w:t xml:space="preserve">   Direct labor cost per unit</w:t>
            </w:r>
          </w:p>
        </w:tc>
        <w:tc>
          <w:tcPr>
            <w:tcW w:w="1260" w:type="dxa"/>
          </w:tcPr>
          <w:p w:rsidR="009A1A66" w:rsidRDefault="009A1A66" w:rsidP="00BE07AE">
            <w:pPr>
              <w:pStyle w:val="NoSpacing"/>
              <w:jc w:val="right"/>
            </w:pPr>
            <w:r>
              <w:t>9.00</w:t>
            </w:r>
          </w:p>
        </w:tc>
        <w:tc>
          <w:tcPr>
            <w:tcW w:w="1530" w:type="dxa"/>
          </w:tcPr>
          <w:p w:rsidR="009A1A66" w:rsidRDefault="009A1A66" w:rsidP="00BE07AE">
            <w:pPr>
              <w:pStyle w:val="NoSpacing"/>
              <w:jc w:val="right"/>
            </w:pPr>
            <w:r>
              <w:t>2.00</w:t>
            </w:r>
          </w:p>
        </w:tc>
        <w:tc>
          <w:tcPr>
            <w:tcW w:w="1458" w:type="dxa"/>
          </w:tcPr>
          <w:p w:rsidR="009A1A66" w:rsidRDefault="009A1A66" w:rsidP="00BE07AE">
            <w:pPr>
              <w:pStyle w:val="NoSpacing"/>
              <w:jc w:val="right"/>
            </w:pPr>
            <w:r>
              <w:t>3.00</w:t>
            </w:r>
          </w:p>
        </w:tc>
      </w:tr>
      <w:tr w:rsidR="009A1A66" w:rsidTr="009A1A66">
        <w:tc>
          <w:tcPr>
            <w:tcW w:w="5328" w:type="dxa"/>
          </w:tcPr>
          <w:p w:rsidR="009A1A66" w:rsidRDefault="009A1A66" w:rsidP="00BE07AE">
            <w:pPr>
              <w:pStyle w:val="NoSpacing"/>
            </w:pPr>
            <w:r>
              <w:t xml:space="preserve">   Manufacturing overhead per unit</w:t>
            </w:r>
          </w:p>
        </w:tc>
        <w:tc>
          <w:tcPr>
            <w:tcW w:w="1260" w:type="dxa"/>
          </w:tcPr>
          <w:p w:rsidR="009A1A66" w:rsidRDefault="009A1A66" w:rsidP="00BE07AE">
            <w:pPr>
              <w:pStyle w:val="NoSpacing"/>
              <w:jc w:val="right"/>
            </w:pPr>
            <w:r>
              <w:t>27.00</w:t>
            </w:r>
          </w:p>
        </w:tc>
        <w:tc>
          <w:tcPr>
            <w:tcW w:w="1530" w:type="dxa"/>
          </w:tcPr>
          <w:p w:rsidR="009A1A66" w:rsidRDefault="009A1A66" w:rsidP="00BE07AE">
            <w:pPr>
              <w:pStyle w:val="NoSpacing"/>
              <w:jc w:val="right"/>
            </w:pPr>
            <w:r>
              <w:t>6.00</w:t>
            </w:r>
          </w:p>
        </w:tc>
        <w:tc>
          <w:tcPr>
            <w:tcW w:w="1458" w:type="dxa"/>
          </w:tcPr>
          <w:p w:rsidR="009A1A66" w:rsidRDefault="009A1A66" w:rsidP="00BE07AE">
            <w:pPr>
              <w:pStyle w:val="NoSpacing"/>
              <w:jc w:val="right"/>
            </w:pPr>
            <w:r>
              <w:t>9.00</w:t>
            </w:r>
          </w:p>
        </w:tc>
      </w:tr>
      <w:tr w:rsidR="009A1A66" w:rsidTr="009A1A66">
        <w:tc>
          <w:tcPr>
            <w:tcW w:w="5328" w:type="dxa"/>
          </w:tcPr>
          <w:p w:rsidR="009A1A66" w:rsidRDefault="009A1A66" w:rsidP="00BE07AE">
            <w:pPr>
              <w:pStyle w:val="NoSpacing"/>
            </w:pPr>
            <w:r>
              <w:t>Gross Margin</w:t>
            </w:r>
          </w:p>
        </w:tc>
        <w:tc>
          <w:tcPr>
            <w:tcW w:w="1260" w:type="dxa"/>
          </w:tcPr>
          <w:p w:rsidR="009A1A66" w:rsidRDefault="009A1A66" w:rsidP="00BE07AE">
            <w:pPr>
              <w:pStyle w:val="NoSpacing"/>
              <w:jc w:val="right"/>
            </w:pPr>
            <w:r>
              <w:t>3.50</w:t>
            </w:r>
          </w:p>
        </w:tc>
        <w:tc>
          <w:tcPr>
            <w:tcW w:w="1530" w:type="dxa"/>
          </w:tcPr>
          <w:p w:rsidR="009A1A66" w:rsidRDefault="009A1A66" w:rsidP="00BE07AE">
            <w:pPr>
              <w:pStyle w:val="NoSpacing"/>
              <w:jc w:val="right"/>
            </w:pPr>
            <w:r>
              <w:t>17.75</w:t>
            </w:r>
          </w:p>
        </w:tc>
        <w:tc>
          <w:tcPr>
            <w:tcW w:w="1458" w:type="dxa"/>
          </w:tcPr>
          <w:p w:rsidR="009A1A66" w:rsidRDefault="009A1A66" w:rsidP="00BE07AE">
            <w:pPr>
              <w:pStyle w:val="NoSpacing"/>
              <w:jc w:val="right"/>
            </w:pPr>
            <w:r>
              <w:t>10.00</w:t>
            </w:r>
          </w:p>
        </w:tc>
      </w:tr>
      <w:tr w:rsidR="009A1A66" w:rsidTr="009A1A66">
        <w:tc>
          <w:tcPr>
            <w:tcW w:w="5328" w:type="dxa"/>
          </w:tcPr>
          <w:p w:rsidR="009A1A66" w:rsidRDefault="009A1A66" w:rsidP="00BE07AE">
            <w:pPr>
              <w:pStyle w:val="NoSpacing"/>
            </w:pPr>
            <w:r>
              <w:t>Less:</w:t>
            </w:r>
          </w:p>
        </w:tc>
        <w:tc>
          <w:tcPr>
            <w:tcW w:w="1260" w:type="dxa"/>
          </w:tcPr>
          <w:p w:rsidR="009A1A66" w:rsidRDefault="009A1A66" w:rsidP="00BE07AE">
            <w:pPr>
              <w:pStyle w:val="NoSpacing"/>
              <w:jc w:val="right"/>
            </w:pPr>
          </w:p>
        </w:tc>
        <w:tc>
          <w:tcPr>
            <w:tcW w:w="1530" w:type="dxa"/>
          </w:tcPr>
          <w:p w:rsidR="009A1A66" w:rsidRDefault="009A1A66" w:rsidP="00BE07AE">
            <w:pPr>
              <w:pStyle w:val="NoSpacing"/>
              <w:jc w:val="right"/>
            </w:pPr>
          </w:p>
        </w:tc>
        <w:tc>
          <w:tcPr>
            <w:tcW w:w="1458" w:type="dxa"/>
          </w:tcPr>
          <w:p w:rsidR="009A1A66" w:rsidRDefault="009A1A66" w:rsidP="00BE07AE">
            <w:pPr>
              <w:pStyle w:val="NoSpacing"/>
              <w:jc w:val="right"/>
            </w:pPr>
          </w:p>
        </w:tc>
      </w:tr>
      <w:tr w:rsidR="009A1A66" w:rsidTr="009A1A66">
        <w:tc>
          <w:tcPr>
            <w:tcW w:w="5328" w:type="dxa"/>
          </w:tcPr>
          <w:p w:rsidR="009A1A66" w:rsidRDefault="009A1A66" w:rsidP="00BE07AE">
            <w:pPr>
              <w:pStyle w:val="NoSpacing"/>
            </w:pPr>
            <w:r>
              <w:t xml:space="preserve">   Selling cost per unit</w:t>
            </w:r>
          </w:p>
        </w:tc>
        <w:tc>
          <w:tcPr>
            <w:tcW w:w="1260" w:type="dxa"/>
          </w:tcPr>
          <w:p w:rsidR="009A1A66" w:rsidRDefault="009A1A66" w:rsidP="00BE07AE">
            <w:pPr>
              <w:pStyle w:val="NoSpacing"/>
              <w:jc w:val="right"/>
            </w:pPr>
            <w:r>
              <w:t>2.25</w:t>
            </w:r>
          </w:p>
        </w:tc>
        <w:tc>
          <w:tcPr>
            <w:tcW w:w="1530" w:type="dxa"/>
          </w:tcPr>
          <w:p w:rsidR="009A1A66" w:rsidRDefault="009A1A66" w:rsidP="00BE07AE">
            <w:pPr>
              <w:pStyle w:val="NoSpacing"/>
              <w:jc w:val="right"/>
            </w:pPr>
            <w:r>
              <w:t>1.50</w:t>
            </w:r>
          </w:p>
        </w:tc>
        <w:tc>
          <w:tcPr>
            <w:tcW w:w="1458" w:type="dxa"/>
          </w:tcPr>
          <w:p w:rsidR="009A1A66" w:rsidRDefault="009A1A66" w:rsidP="00BE07AE">
            <w:pPr>
              <w:pStyle w:val="NoSpacing"/>
              <w:jc w:val="right"/>
            </w:pPr>
            <w:r>
              <w:t>1.25</w:t>
            </w:r>
          </w:p>
        </w:tc>
      </w:tr>
      <w:tr w:rsidR="009A1A66" w:rsidTr="009A1A66">
        <w:tc>
          <w:tcPr>
            <w:tcW w:w="5328" w:type="dxa"/>
          </w:tcPr>
          <w:p w:rsidR="009A1A66" w:rsidRDefault="009A1A66" w:rsidP="00BE07AE">
            <w:pPr>
              <w:pStyle w:val="NoSpacing"/>
            </w:pPr>
            <w:r>
              <w:t xml:space="preserve">   Administration cost per unit</w:t>
            </w:r>
          </w:p>
        </w:tc>
        <w:tc>
          <w:tcPr>
            <w:tcW w:w="1260" w:type="dxa"/>
          </w:tcPr>
          <w:p w:rsidR="009A1A66" w:rsidRDefault="009A1A66" w:rsidP="00BE07AE">
            <w:pPr>
              <w:pStyle w:val="NoSpacing"/>
              <w:jc w:val="right"/>
            </w:pPr>
            <w:r>
              <w:t>3.75</w:t>
            </w:r>
          </w:p>
        </w:tc>
        <w:tc>
          <w:tcPr>
            <w:tcW w:w="1530" w:type="dxa"/>
          </w:tcPr>
          <w:p w:rsidR="009A1A66" w:rsidRDefault="009A1A66" w:rsidP="00BE07AE">
            <w:pPr>
              <w:pStyle w:val="NoSpacing"/>
              <w:jc w:val="right"/>
            </w:pPr>
            <w:r>
              <w:t>3.00</w:t>
            </w:r>
          </w:p>
        </w:tc>
        <w:tc>
          <w:tcPr>
            <w:tcW w:w="1458" w:type="dxa"/>
          </w:tcPr>
          <w:p w:rsidR="009A1A66" w:rsidRDefault="009A1A66" w:rsidP="00BE07AE">
            <w:pPr>
              <w:pStyle w:val="NoSpacing"/>
              <w:jc w:val="right"/>
            </w:pPr>
            <w:r>
              <w:t>2.75</w:t>
            </w:r>
          </w:p>
        </w:tc>
      </w:tr>
      <w:tr w:rsidR="009A1A66" w:rsidTr="009A1A66">
        <w:tc>
          <w:tcPr>
            <w:tcW w:w="5328" w:type="dxa"/>
          </w:tcPr>
          <w:p w:rsidR="009A1A66" w:rsidRDefault="009A1A66" w:rsidP="00BE07AE">
            <w:pPr>
              <w:pStyle w:val="NoSpacing"/>
            </w:pPr>
            <w:r>
              <w:t>Net Income (loss) per unit</w:t>
            </w:r>
          </w:p>
        </w:tc>
        <w:tc>
          <w:tcPr>
            <w:tcW w:w="1260" w:type="dxa"/>
          </w:tcPr>
          <w:p w:rsidR="009A1A66" w:rsidRDefault="009A1A66" w:rsidP="00BE07AE">
            <w:pPr>
              <w:pStyle w:val="NoSpacing"/>
              <w:jc w:val="right"/>
            </w:pPr>
            <w:r>
              <w:t>$(2.50)</w:t>
            </w:r>
          </w:p>
        </w:tc>
        <w:tc>
          <w:tcPr>
            <w:tcW w:w="1530" w:type="dxa"/>
          </w:tcPr>
          <w:p w:rsidR="009A1A66" w:rsidRDefault="009A1A66" w:rsidP="00BE07AE">
            <w:pPr>
              <w:pStyle w:val="NoSpacing"/>
              <w:jc w:val="right"/>
            </w:pPr>
            <w:r>
              <w:t>$13.25</w:t>
            </w:r>
          </w:p>
        </w:tc>
        <w:tc>
          <w:tcPr>
            <w:tcW w:w="1458" w:type="dxa"/>
          </w:tcPr>
          <w:p w:rsidR="009A1A66" w:rsidRDefault="009A1A66" w:rsidP="00BE07AE">
            <w:pPr>
              <w:pStyle w:val="NoSpacing"/>
              <w:jc w:val="right"/>
            </w:pPr>
            <w:r>
              <w:t>$6.00</w:t>
            </w:r>
          </w:p>
        </w:tc>
      </w:tr>
    </w:tbl>
    <w:p w:rsidR="00BE07AE" w:rsidRDefault="00BE07AE" w:rsidP="00BE07AE">
      <w:pPr>
        <w:pStyle w:val="NoSpacing"/>
      </w:pPr>
    </w:p>
    <w:p w:rsidR="009A1A66" w:rsidRDefault="009A1A66" w:rsidP="00BE07AE">
      <w:pPr>
        <w:pStyle w:val="NoSpacing"/>
      </w:pPr>
      <w:r>
        <w:t>The manager of Dawson Company is concerned that the Skyhawk game seems to be a net loser and he is considering whether to discontinue it.  He has asked you to analyze the situation and make a recommendation.  Your analysis reveals that Dawson Company has three levels of overhead – faculty sustaining, batch-related, and unit-related – and that the appropriate overhead rates are $6.00 per square foot, $1,000 per production run, and $4 per unit, respectively.  Resource usage during the past period follows.  In addition, you discover that administrative costs are fixed while selling costs are variable per unit.</w:t>
      </w:r>
    </w:p>
    <w:p w:rsidR="009A1A66" w:rsidRDefault="009A1A66" w:rsidP="00BE07A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8"/>
        <w:gridCol w:w="1260"/>
        <w:gridCol w:w="1530"/>
        <w:gridCol w:w="1458"/>
      </w:tblGrid>
      <w:tr w:rsidR="00442AF2" w:rsidRPr="00BE07AE" w:rsidTr="00861017">
        <w:tc>
          <w:tcPr>
            <w:tcW w:w="5328" w:type="dxa"/>
          </w:tcPr>
          <w:p w:rsidR="00442AF2" w:rsidRPr="00BE07AE" w:rsidRDefault="00442AF2" w:rsidP="00861017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442AF2" w:rsidRPr="00BE07AE" w:rsidRDefault="00442AF2" w:rsidP="0086101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Skyhawk</w:t>
            </w:r>
          </w:p>
        </w:tc>
        <w:tc>
          <w:tcPr>
            <w:tcW w:w="1530" w:type="dxa"/>
          </w:tcPr>
          <w:p w:rsidR="00442AF2" w:rsidRPr="00BE07AE" w:rsidRDefault="00442AF2" w:rsidP="0086101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Seahawk</w:t>
            </w:r>
          </w:p>
        </w:tc>
        <w:tc>
          <w:tcPr>
            <w:tcW w:w="1458" w:type="dxa"/>
          </w:tcPr>
          <w:p w:rsidR="00442AF2" w:rsidRPr="00BE07AE" w:rsidRDefault="00442AF2" w:rsidP="00861017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Sharks</w:t>
            </w:r>
          </w:p>
        </w:tc>
      </w:tr>
      <w:tr w:rsidR="00442AF2" w:rsidTr="00861017">
        <w:tc>
          <w:tcPr>
            <w:tcW w:w="5328" w:type="dxa"/>
          </w:tcPr>
          <w:p w:rsidR="00442AF2" w:rsidRDefault="00442AF2" w:rsidP="00861017">
            <w:pPr>
              <w:pStyle w:val="NoSpacing"/>
            </w:pPr>
            <w:r>
              <w:t>Square feet occupied</w:t>
            </w:r>
          </w:p>
        </w:tc>
        <w:tc>
          <w:tcPr>
            <w:tcW w:w="1260" w:type="dxa"/>
          </w:tcPr>
          <w:p w:rsidR="00442AF2" w:rsidRDefault="00442AF2" w:rsidP="00861017">
            <w:pPr>
              <w:pStyle w:val="NoSpacing"/>
              <w:jc w:val="right"/>
            </w:pPr>
            <w:r>
              <w:t>10,000</w:t>
            </w:r>
          </w:p>
        </w:tc>
        <w:tc>
          <w:tcPr>
            <w:tcW w:w="1530" w:type="dxa"/>
          </w:tcPr>
          <w:p w:rsidR="00442AF2" w:rsidRDefault="00442AF2" w:rsidP="00861017">
            <w:pPr>
              <w:pStyle w:val="NoSpacing"/>
              <w:jc w:val="right"/>
            </w:pPr>
            <w:r>
              <w:t>12,500</w:t>
            </w:r>
          </w:p>
        </w:tc>
        <w:tc>
          <w:tcPr>
            <w:tcW w:w="1458" w:type="dxa"/>
          </w:tcPr>
          <w:p w:rsidR="00442AF2" w:rsidRDefault="00442AF2" w:rsidP="00861017">
            <w:pPr>
              <w:pStyle w:val="NoSpacing"/>
              <w:jc w:val="right"/>
            </w:pPr>
            <w:r>
              <w:t>15,000</w:t>
            </w:r>
          </w:p>
        </w:tc>
      </w:tr>
      <w:tr w:rsidR="00442AF2" w:rsidTr="00861017">
        <w:tc>
          <w:tcPr>
            <w:tcW w:w="5328" w:type="dxa"/>
          </w:tcPr>
          <w:p w:rsidR="00442AF2" w:rsidRDefault="00442AF2" w:rsidP="00861017">
            <w:pPr>
              <w:pStyle w:val="NoSpacing"/>
            </w:pPr>
            <w:r>
              <w:t>Production runs</w:t>
            </w:r>
          </w:p>
        </w:tc>
        <w:tc>
          <w:tcPr>
            <w:tcW w:w="1260" w:type="dxa"/>
          </w:tcPr>
          <w:p w:rsidR="00442AF2" w:rsidRDefault="00442AF2" w:rsidP="00861017">
            <w:pPr>
              <w:pStyle w:val="NoSpacing"/>
              <w:jc w:val="right"/>
            </w:pPr>
            <w:r>
              <w:t>9</w:t>
            </w:r>
          </w:p>
        </w:tc>
        <w:tc>
          <w:tcPr>
            <w:tcW w:w="1530" w:type="dxa"/>
          </w:tcPr>
          <w:p w:rsidR="00442AF2" w:rsidRDefault="00442AF2" w:rsidP="00861017">
            <w:pPr>
              <w:pStyle w:val="NoSpacing"/>
              <w:jc w:val="right"/>
            </w:pPr>
            <w:r>
              <w:t>12</w:t>
            </w:r>
          </w:p>
        </w:tc>
        <w:tc>
          <w:tcPr>
            <w:tcW w:w="1458" w:type="dxa"/>
          </w:tcPr>
          <w:p w:rsidR="00442AF2" w:rsidRDefault="00442AF2" w:rsidP="00861017">
            <w:pPr>
              <w:pStyle w:val="NoSpacing"/>
              <w:jc w:val="right"/>
            </w:pPr>
            <w:r>
              <w:t>12</w:t>
            </w:r>
          </w:p>
        </w:tc>
      </w:tr>
    </w:tbl>
    <w:p w:rsidR="00442AF2" w:rsidRDefault="00442AF2" w:rsidP="00BE07AE">
      <w:pPr>
        <w:pStyle w:val="NoSpacing"/>
      </w:pPr>
    </w:p>
    <w:p w:rsidR="00BE07AE" w:rsidRDefault="00BE07AE" w:rsidP="00BE07AE">
      <w:pPr>
        <w:pStyle w:val="NoSpacing"/>
      </w:pPr>
      <w:r>
        <w:t xml:space="preserve">Required: </w:t>
      </w:r>
    </w:p>
    <w:p w:rsidR="00BE07AE" w:rsidRDefault="00BE07AE" w:rsidP="00BE07AE">
      <w:pPr>
        <w:pStyle w:val="NoSpacing"/>
      </w:pPr>
    </w:p>
    <w:p w:rsidR="00BE07AE" w:rsidRDefault="00442AF2" w:rsidP="0079447C">
      <w:pPr>
        <w:pStyle w:val="NoSpacing"/>
        <w:numPr>
          <w:ilvl w:val="0"/>
          <w:numId w:val="5"/>
        </w:numPr>
      </w:pPr>
      <w:bookmarkStart w:id="0" w:name="_GoBack"/>
      <w:bookmarkEnd w:id="0"/>
      <w:r>
        <w:t>Determine whether Dawson Company should drop any game.</w:t>
      </w:r>
    </w:p>
    <w:p w:rsidR="00BE07AE" w:rsidRDefault="00442AF2" w:rsidP="0079447C">
      <w:pPr>
        <w:pStyle w:val="NoSpacing"/>
        <w:numPr>
          <w:ilvl w:val="0"/>
          <w:numId w:val="5"/>
        </w:numPr>
      </w:pPr>
      <w:r>
        <w:t>Write a memo to the manager with your recommendation</w:t>
      </w:r>
      <w:r w:rsidR="00BE07AE">
        <w:t>.</w:t>
      </w:r>
    </w:p>
    <w:sectPr w:rsidR="00BE07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13DFF"/>
    <w:multiLevelType w:val="hybridMultilevel"/>
    <w:tmpl w:val="27AE8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1357E"/>
    <w:multiLevelType w:val="hybridMultilevel"/>
    <w:tmpl w:val="E6D4E0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25DCF"/>
    <w:multiLevelType w:val="hybridMultilevel"/>
    <w:tmpl w:val="2E280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5E1DB8"/>
    <w:multiLevelType w:val="hybridMultilevel"/>
    <w:tmpl w:val="E34681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A5426"/>
    <w:multiLevelType w:val="hybridMultilevel"/>
    <w:tmpl w:val="F1E46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7AE"/>
    <w:rsid w:val="001A204B"/>
    <w:rsid w:val="002643CB"/>
    <w:rsid w:val="00442AF2"/>
    <w:rsid w:val="00512DC6"/>
    <w:rsid w:val="00594785"/>
    <w:rsid w:val="0079447C"/>
    <w:rsid w:val="00840865"/>
    <w:rsid w:val="009A1A66"/>
    <w:rsid w:val="00AD4F7B"/>
    <w:rsid w:val="00BE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07AE"/>
    <w:pPr>
      <w:spacing w:after="0" w:line="240" w:lineRule="auto"/>
    </w:pPr>
  </w:style>
  <w:style w:type="table" w:styleId="TableGrid">
    <w:name w:val="Table Grid"/>
    <w:basedOn w:val="TableNormal"/>
    <w:uiPriority w:val="59"/>
    <w:rsid w:val="00BE0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07AE"/>
    <w:pPr>
      <w:spacing w:after="0" w:line="240" w:lineRule="auto"/>
    </w:pPr>
  </w:style>
  <w:style w:type="table" w:styleId="TableGrid">
    <w:name w:val="Table Grid"/>
    <w:basedOn w:val="TableNormal"/>
    <w:uiPriority w:val="59"/>
    <w:rsid w:val="00BE0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Regent University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Redmer</dc:creator>
  <cp:lastModifiedBy>Timothy Redmer</cp:lastModifiedBy>
  <cp:revision>5</cp:revision>
  <dcterms:created xsi:type="dcterms:W3CDTF">2015-09-26T13:41:00Z</dcterms:created>
  <dcterms:modified xsi:type="dcterms:W3CDTF">2015-09-26T13:43:00Z</dcterms:modified>
</cp:coreProperties>
</file>